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A8" w:rsidRDefault="001D0AA8"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-713105</wp:posOffset>
            </wp:positionH>
            <wp:positionV relativeFrom="paragraph">
              <wp:posOffset>-804545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2 -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PRODUCT CODE: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SS-XT2200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 xml:space="preserve">Ballistic: </w:t>
      </w:r>
      <w:r w:rsidRPr="008C2F1F">
        <w:rPr>
          <w:rFonts w:ascii="Humanist777BT-RomanB" w:eastAsia="Times New Roman" w:hAnsi="Humanist777BT-RomanB" w:cs="Humanist777BT-RomanB"/>
          <w:sz w:val="18"/>
          <w:szCs w:val="18"/>
        </w:rPr>
        <w:tab/>
        <w:t>UL Standard 752 – Level 2</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.357 </w:t>
      </w:r>
      <w:proofErr w:type="gramStart"/>
      <w:r w:rsidRPr="008C2F1F">
        <w:rPr>
          <w:rFonts w:ascii="Humanist777BT-RomanB" w:eastAsia="Times New Roman" w:hAnsi="Humanist777BT-RomanB" w:cs="Humanist777BT-RomanB"/>
          <w:sz w:val="18"/>
          <w:szCs w:val="18"/>
        </w:rPr>
        <w:t>Magnum</w:t>
      </w:r>
      <w:proofErr w:type="gramEnd"/>
      <w:r w:rsidRPr="008C2F1F">
        <w:rPr>
          <w:rFonts w:ascii="Humanist777BT-RomanB" w:eastAsia="Times New Roman" w:hAnsi="Humanist777BT-RomanB" w:cs="Humanist777BT-RomanB"/>
          <w:sz w:val="18"/>
          <w:szCs w:val="18"/>
        </w:rPr>
        <w:t xml:space="preserve"> Jacketed Lead Soft Point</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15/16” Nominal (.960”)</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.899” / 1.02”</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10.34 Lbs.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U-Value- .84</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Shading Co-efficient- .76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Light Transmission- .76</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 xml:space="preserve">Glass must be installed in a UL Level 2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CC" w:rsidRDefault="00E954CC" w:rsidP="00F67CEE">
      <w:pPr>
        <w:spacing w:after="0" w:line="240" w:lineRule="auto"/>
      </w:pPr>
      <w:r>
        <w:separator/>
      </w:r>
    </w:p>
  </w:endnote>
  <w:endnote w:type="continuationSeparator" w:id="0">
    <w:p w:rsidR="00E954CC" w:rsidRDefault="00E954CC"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CC" w:rsidRDefault="00E954CC" w:rsidP="00F67CEE">
      <w:pPr>
        <w:spacing w:after="0" w:line="240" w:lineRule="auto"/>
      </w:pPr>
      <w:r>
        <w:separator/>
      </w:r>
    </w:p>
  </w:footnote>
  <w:footnote w:type="continuationSeparator" w:id="0">
    <w:p w:rsidR="00E954CC" w:rsidRDefault="00E954CC"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F67CEE"/>
    <w:rsid w:val="001D0AA8"/>
    <w:rsid w:val="001E4AFA"/>
    <w:rsid w:val="006C5D0F"/>
    <w:rsid w:val="008C2F1F"/>
    <w:rsid w:val="008E49AF"/>
    <w:rsid w:val="00A44D0A"/>
    <w:rsid w:val="00B3238B"/>
    <w:rsid w:val="00E954CC"/>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2011-05-06T15:07:00Z</dcterms:created>
  <dcterms:modified xsi:type="dcterms:W3CDTF">2012-08-08T13:08:00Z</dcterms:modified>
</cp:coreProperties>
</file>